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45979">
        <w:trPr>
          <w:trHeight w:hRule="exact" w:val="1528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745979">
        <w:trPr>
          <w:trHeight w:hRule="exact" w:val="138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4597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745979">
        <w:trPr>
          <w:trHeight w:hRule="exact" w:val="211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5979">
        <w:trPr>
          <w:trHeight w:hRule="exact" w:val="972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45979" w:rsidRDefault="00745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45979">
        <w:trPr>
          <w:trHeight w:hRule="exact" w:val="277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45979">
        <w:trPr>
          <w:trHeight w:hRule="exact" w:val="277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45979">
        <w:trPr>
          <w:trHeight w:hRule="exact" w:val="1135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Мотивация и стимулирование персонала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К.М.01.01</w:t>
            </w:r>
          </w:p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45979">
        <w:trPr>
          <w:trHeight w:hRule="exact" w:val="1396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«Организация труда, оценка и развитие персонала»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4597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07.АДМИНИСТРАТИВНО-УПРАВЛЕНЧЕСКАЯ И ОФИСНАЯ ДЕЯТЕЛЬНОСТЬ.</w:t>
            </w:r>
          </w:p>
        </w:tc>
      </w:tr>
      <w:tr w:rsidR="0074597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155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7459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7459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745979">
        <w:trPr>
          <w:trHeight w:hRule="exact" w:val="124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745979">
        <w:trPr>
          <w:trHeight w:hRule="exact" w:val="577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336"/>
        </w:trPr>
        <w:tc>
          <w:tcPr>
            <w:tcW w:w="143" w:type="dxa"/>
          </w:tcPr>
          <w:p w:rsidR="00745979" w:rsidRDefault="00745979"/>
        </w:tc>
        <w:tc>
          <w:tcPr>
            <w:tcW w:w="285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1419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1277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  <w:tc>
          <w:tcPr>
            <w:tcW w:w="2836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143" w:type="dxa"/>
          </w:tcPr>
          <w:p w:rsidR="00745979" w:rsidRDefault="0074597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45979">
        <w:trPr>
          <w:trHeight w:hRule="exact" w:val="138"/>
        </w:trPr>
        <w:tc>
          <w:tcPr>
            <w:tcW w:w="143" w:type="dxa"/>
          </w:tcPr>
          <w:p w:rsidR="00745979" w:rsidRDefault="0074597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1666"/>
        </w:trPr>
        <w:tc>
          <w:tcPr>
            <w:tcW w:w="143" w:type="dxa"/>
          </w:tcPr>
          <w:p w:rsidR="00745979" w:rsidRDefault="0074597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745979" w:rsidRDefault="00745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45979" w:rsidRDefault="00745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4597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/Долженко Сергей Петрович/</w:t>
            </w:r>
          </w:p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4597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45979">
        <w:trPr>
          <w:trHeight w:hRule="exact" w:val="555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4597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28.02.2022 № 23;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ректора от 28.02.2022 № 23;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персонала»; форма обучения – заочная на 2022/2023 учебный год, утвержденным приказом ректора от 28.03.2022 №28;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«Мотивация и стимулирование персонала» в течение 2022/2023 учебного года: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персоналом;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процесса.</w:t>
            </w:r>
          </w:p>
        </w:tc>
      </w:tr>
      <w:tr w:rsidR="00745979">
        <w:trPr>
          <w:trHeight w:hRule="exact" w:val="138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К.М.01.01 «Мотивация и стимулирование персонала».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745979">
        <w:trPr>
          <w:trHeight w:hRule="exact" w:val="138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«Мотивация и стимулирование персонала» направлен на формирование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и проводить оценку персонала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ПК-2.3 знать системы, методы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материального и нематериального стимулирования труда персонала</w:t>
            </w:r>
          </w:p>
        </w:tc>
      </w:tr>
      <w:tr w:rsidR="0074597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ПК-2.21 уметь определять мотивационные факторы проведения оценки персонала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ПК-2.41 владеть навыками анализа результатов оценки персонала, подготовки рекомендаций руководству и персоналу</w:t>
            </w:r>
          </w:p>
        </w:tc>
      </w:tr>
      <w:tr w:rsidR="00745979">
        <w:trPr>
          <w:trHeight w:hRule="exact" w:val="277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знать системы, методы и формы материального и нематериального стимулирования труда персонала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ПК-3.29 уметь применить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ПК-3.39 владеть навыками применения системы, методов и форм материального и нематериального стимулирования труда персонала</w:t>
            </w:r>
          </w:p>
        </w:tc>
      </w:tr>
      <w:tr w:rsidR="00745979">
        <w:trPr>
          <w:trHeight w:hRule="exact" w:val="277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597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принципы и методы анализа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74597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задач в рамках поставленной цели,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 действующих правовых норм, имеющихся ресурсов и ограничений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4597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745979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К.М.01.01 «Мотивация и стимулирование персонала»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"Организация труда"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745979">
        <w:trPr>
          <w:trHeight w:hRule="exact" w:val="138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459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745979"/>
        </w:tc>
      </w:tr>
      <w:tr w:rsidR="0074597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745979"/>
        </w:tc>
      </w:tr>
      <w:tr w:rsidR="00745979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color w:val="000000"/>
              </w:rPr>
              <w:t>базы данных в управлении персоналом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Организационное поведение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управленческих решений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труда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Бюджетирование  в управлении персоналом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Контроллинг персонала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организации труда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управления ч</w:t>
            </w:r>
            <w:r>
              <w:rPr>
                <w:rFonts w:ascii="Times New Roman" w:hAnsi="Times New Roman" w:cs="Times New Roman"/>
                <w:color w:val="000000"/>
              </w:rPr>
              <w:t>еловеческими ресурсами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адаптацией персонала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труда</w:t>
            </w:r>
          </w:p>
          <w:p w:rsidR="00745979" w:rsidRDefault="00DE12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Аудит персонала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ПК-2, УК-2</w:t>
            </w:r>
          </w:p>
        </w:tc>
      </w:tr>
      <w:tr w:rsidR="00745979">
        <w:trPr>
          <w:trHeight w:hRule="exact" w:val="138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45979">
        <w:trPr>
          <w:trHeight w:hRule="exact" w:val="138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979">
        <w:trPr>
          <w:trHeight w:hRule="exact" w:val="416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745979">
        <w:trPr>
          <w:trHeight w:hRule="exact" w:val="277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745979" w:rsidRDefault="00745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45979">
        <w:trPr>
          <w:trHeight w:hRule="exact" w:val="416"/>
        </w:trPr>
        <w:tc>
          <w:tcPr>
            <w:tcW w:w="3970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1702" w:type="dxa"/>
          </w:tcPr>
          <w:p w:rsidR="00745979" w:rsidRDefault="00745979"/>
        </w:tc>
        <w:tc>
          <w:tcPr>
            <w:tcW w:w="426" w:type="dxa"/>
          </w:tcPr>
          <w:p w:rsidR="00745979" w:rsidRDefault="00745979"/>
        </w:tc>
        <w:tc>
          <w:tcPr>
            <w:tcW w:w="710" w:type="dxa"/>
          </w:tcPr>
          <w:p w:rsidR="00745979" w:rsidRDefault="00745979"/>
        </w:tc>
        <w:tc>
          <w:tcPr>
            <w:tcW w:w="143" w:type="dxa"/>
          </w:tcPr>
          <w:p w:rsidR="00745979" w:rsidRDefault="00745979"/>
        </w:tc>
        <w:tc>
          <w:tcPr>
            <w:tcW w:w="993" w:type="dxa"/>
          </w:tcPr>
          <w:p w:rsidR="00745979" w:rsidRDefault="00745979"/>
        </w:tc>
      </w:tr>
      <w:tr w:rsidR="007459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4597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1: Основные категории мотивации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 Материальные стимулы трудовой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979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Моральное стимулирование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4: Психологические аспекты мотивации трудовой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 Корпоративная культура как метод мотивации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6: Сущность  и формы стимулирования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7: Структуры  ответственные за мотивацию и стимулирование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Создание кадрового резерва как форма стимулирования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Дополнительные мотивирующие факторы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Ротация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9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 морального стимулирования, обеспечивающих устойчивый и доказанный уровень эффективности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59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конференции  с докладами по проблемам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"Круглый стол"на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"Достижение эффективности мотивации и стимулироования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9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97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45979">
        <w:trPr>
          <w:trHeight w:hRule="exact" w:val="65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значения Севастополя и о внесении изменений в Федеральный закон «Об образовании в Российской Федерации»: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аявления обуча-ющегося).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обучавшихся по не имеющей государственной аккредитации образовательной программе: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 нормативным актом образовательной организации.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4597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 Основные категории мотивации персонала</w:t>
            </w:r>
          </w:p>
        </w:tc>
      </w:tr>
      <w:tr w:rsidR="0074597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Мотивация- это формирование внутренних побуждающих факторов, действующих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самосознание.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Существуют различные факторы мотивации, которые определяют, что является наиболее важным для конкретного человека. Как правило, это не один фактор, а несколько. Факторы мотивации принято делить на внешние и внутренние.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Внутренними факторами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отивации могут выступать: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самореализация,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самоутверждение,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творчество,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убежденность,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любопытство,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потребность в общении и т.п.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Материальные стимулы трудовой деятельности</w:t>
            </w:r>
          </w:p>
        </w:tc>
      </w:tr>
      <w:tr w:rsidR="0074597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персонала- это внешние рычаги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 персонала, то есть побуждение с помощью материальной заинтересованности.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работы магазина, его товарооборот и количество прибыли во многом зависит от качества работы его сотрудников. Для того, что бы сотрудники действительно качест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 выполняли свои обязанности, необходимо создать благоприятные условия труда, то есть проводить комплексное стимулирование и мотивацию персонала.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стимулирования могут быть как поощрительными, так и наказывающие</w:t>
            </w:r>
          </w:p>
        </w:tc>
      </w:tr>
      <w:tr w:rsidR="0074597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Моральное стимулирование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персонала</w:t>
            </w:r>
          </w:p>
        </w:tc>
      </w:tr>
      <w:tr w:rsidR="007459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 значительный опыт морального стимулирования персонала.Вместе с тем,следует помнить,что моральное стимулирование достигает эффекта только при удовлетворении основых материальных потребностей человеческих ресурсов.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Психологические аспекты мотивации трудовой деятельности</w:t>
            </w:r>
          </w:p>
        </w:tc>
      </w:tr>
      <w:tr w:rsidR="0074597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удовлетворения человеческих нужд или потребностей является важнейшей социально-экономической задачей в рыночных отношениях. На рынке под нуждой принято понимать чувство ощущаемой челове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нехватки чего-либо: товара, услуги, блага. Нужды не создаются усилиями людей, а являются исходными составляющими природы человека. Как правило, нужда переходит в потребность людей.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человека характеризует его конкретную нужду, принявшую спец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ифическую форму в соответствии с культурным уровнем и личностью индивида. Потребностям и желаниям человека, по словам А. Маршалла, нет числа, виды их очень разнообразны, но возможности их удовлетворения обычно ограничены. Все потребности человека по 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своим признакам можно подразделять на абсолютные и относительные, высшие и низшие, позитивные и негативные, прямые и косвенные, общие и особенные, постоянные и временные, обычные и чрезвычайные, беспрерывные и прерывные, настоящие и будущие, 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коллективные, частные и государственные и т.д.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Корпоративная культура как метод мотивации персонала</w:t>
            </w:r>
          </w:p>
        </w:tc>
      </w:tr>
      <w:tr w:rsidR="0074597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Корпоративная культура неразрывно связна с мотивацией персонала, так как ее правильно формирование влияет на благоприятную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атмосферу внутри самой компании, а также поддержание комфортной деловой среды в офисе. Согласно статистике, до 85% мотивации каждого сотрудника зависит от: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стабильности компании,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места, которое человек занимает в организации,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возможностей для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арьерного роста,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ценят ли человека коллеги и руководство.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создания корпоративной культуры заключается в формировании крепкого коллектива, где каждый сотрудник с удовольствием делает общее дело.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6: Сущность  и формы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стимулирования персонала</w:t>
            </w:r>
          </w:p>
        </w:tc>
      </w:tr>
      <w:tr w:rsidR="0074597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уже отмечалось , понятия «мотивирование» и «стимулирование» неразрывно связаны между собой. Вместе с тем стимулирование принципиально отличается от мотивирования. Стимулирование — это средство, с помощью которого осуществляетс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мотивирование персонала организации; это способ вознаграждения (иногда и наказания) за участие работника в производстве продукции (услуг) и т.п. Оно базируется на сопоставлении требуемой и фактической эффективности труда работника.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7: Структуры  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ветственные за мотивацию и стимулирование на предприятии</w:t>
            </w:r>
          </w:p>
        </w:tc>
      </w:tr>
      <w:tr w:rsidR="00745979">
        <w:trPr>
          <w:trHeight w:hRule="exact" w:val="10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Субъекты, создающие мотивацию к труду, достаточно многообразны. Мотивация труда работников зависит от их потребностей, интересов, ценностных ориентаций. Мотивация труда зависит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на котором работают люди, от того, какая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политика администрации проводится по отношению к работникам, какие методы социальной защиты применяются, какая существует социальная инфраструктура.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Создание кадрового резерва как форма стим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улирования</w:t>
            </w:r>
          </w:p>
        </w:tc>
      </w:tr>
      <w:tr w:rsidR="0074597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кадрового резерва делает очевидным для сотрудников возможность продвижения по службе и получения более высоких доходов</w:t>
            </w:r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Дополнительные мотивирующие факторы</w:t>
            </w:r>
          </w:p>
        </w:tc>
      </w:tr>
      <w:tr w:rsidR="007459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Карьерный рост.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Здесь важно не столько само повышение, 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руководством и коллегами. Это мотивирует в дальнейшем работать еще более эффективно, а также стремиться к большему (как в личном развитии, так и в развитии компании, в целом).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Ротация персонала</w:t>
            </w:r>
          </w:p>
        </w:tc>
      </w:tr>
      <w:tr w:rsidR="0074597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помощи этого инструмента можно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повысить профессиональной квалификации отдельно взятого сотрудника, но и обеспечить взаимозаменяемость внутри коллектива. Также такой метод дает возможность расширить представления сотрудников о различных направлениях деятельности внутри компании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значительно укрепить связи между подразделениями.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Информирование.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больше у каждого человека в вашем коллективе есть информации о компании, тем меньше у людей возникает состояние неопределенности и неясности</w:t>
            </w:r>
          </w:p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форм морального стимулирования, обеспечивающих устойчивый и доказанный уровень эффективности</w:t>
            </w:r>
          </w:p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конференции  с докладами по проблемам учебной дисциплины</w:t>
            </w:r>
          </w:p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45979">
        <w:trPr>
          <w:trHeight w:hRule="exact" w:val="14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"Круглый стол"на тему "Достижение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эффективности мотивации и стимулироования персонала</w:t>
            </w:r>
          </w:p>
        </w:tc>
      </w:tr>
      <w:tr w:rsidR="0074597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459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>
            <w:pPr>
              <w:spacing w:after="0" w:line="240" w:lineRule="auto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4597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«Мотивация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персонала» / Долженко Сергей Петрович. – Омск: Изд-во Омской гуманитарной академии, 2022.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№ 43в.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45979">
        <w:trPr>
          <w:trHeight w:hRule="exact" w:val="138"/>
        </w:trPr>
        <w:tc>
          <w:tcPr>
            <w:tcW w:w="285" w:type="dxa"/>
          </w:tcPr>
          <w:p w:rsidR="00745979" w:rsidRDefault="00745979"/>
        </w:tc>
        <w:tc>
          <w:tcPr>
            <w:tcW w:w="9356" w:type="dxa"/>
          </w:tcPr>
          <w:p w:rsidR="00745979" w:rsidRDefault="00745979"/>
        </w:tc>
      </w:tr>
      <w:tr w:rsidR="007459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 дисциплины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4597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Ветлужских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Паблишер,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978-5-9614-1728-9.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http://www.iprbookshop.ru/86874.html</w:t>
              </w:r>
            </w:hyperlink>
            <w:r>
              <w:t xml:space="preserve"> </w:t>
            </w:r>
          </w:p>
        </w:tc>
      </w:tr>
      <w:tr w:rsidR="0074597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978-5-88247-869-7.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http://www.iprbookshop.ru/83191.html</w:t>
              </w:r>
            </w:hyperlink>
            <w:r>
              <w:t xml:space="preserve"> </w:t>
            </w:r>
          </w:p>
        </w:tc>
      </w:tr>
      <w:tr w:rsidR="00745979">
        <w:trPr>
          <w:trHeight w:hRule="exact" w:val="277"/>
        </w:trPr>
        <w:tc>
          <w:tcPr>
            <w:tcW w:w="285" w:type="dxa"/>
          </w:tcPr>
          <w:p w:rsidR="00745979" w:rsidRDefault="0074597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4597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«НИНХ»,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978-5-7014-0689-4.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http://www.iprbookshop.ru/87136.html</w:t>
              </w:r>
            </w:hyperlink>
            <w:r>
              <w:t xml:space="preserve"> </w:t>
            </w:r>
          </w:p>
        </w:tc>
      </w:tr>
      <w:tr w:rsidR="00745979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745979"/>
        </w:tc>
      </w:tr>
      <w:tr w:rsidR="0074597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978-5-9961-1344-6.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http://www.iprbookshop.ru/83744.html</w:t>
              </w:r>
            </w:hyperlink>
            <w:r>
              <w:t xml:space="preserve"> 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45979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459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745979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 по учебной дисциплине в библиотеке и для решения задач;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изучаемой темы дисциплины. С этой целью после 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изучении теоретического материала всегда полезно выписывать формулы и графики.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 обдумать процесс решения и попробовать решить аналогичную задачу самостоятельно.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459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4597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SP3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45979" w:rsidRDefault="007459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и информационные справочные системы:</w:t>
            </w:r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459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459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45979">
        <w:trPr>
          <w:trHeight w:hRule="exact" w:val="47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 дистанционных образовательных технологий;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хранение, систематизация и выдача учебной и научной информации;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обучающимися для рассылки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переписки и обсуждения учебных вопросов.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45979">
        <w:trPr>
          <w:trHeight w:hRule="exact" w:val="277"/>
        </w:trPr>
        <w:tc>
          <w:tcPr>
            <w:tcW w:w="9640" w:type="dxa"/>
          </w:tcPr>
          <w:p w:rsidR="00745979" w:rsidRDefault="00745979"/>
        </w:tc>
      </w:tr>
      <w:tr w:rsidR="007459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45979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дио-видео усилитель, ноутбук, Операционная система Microsoft Windows 10,  Microsoft Office Professional Plus 2007;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745979" w:rsidRDefault="00DE12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597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проектирования (выполнения курсовых работ), групповых и индивидуальных консультаций, библиотека, читальный зал, материально-техническое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74597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979" w:rsidRDefault="00DE12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дства защиты – 4.</w:t>
            </w:r>
          </w:p>
        </w:tc>
      </w:tr>
    </w:tbl>
    <w:p w:rsidR="00745979" w:rsidRDefault="00745979"/>
    <w:sectPr w:rsidR="007459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45979"/>
    <w:rsid w:val="00D31453"/>
    <w:rsid w:val="00DE120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2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8374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7136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8319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87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6271</Words>
  <Characters>35745</Characters>
  <Application>Microsoft Office Word</Application>
  <DocSecurity>0</DocSecurity>
  <Lines>297</Lines>
  <Paragraphs>83</Paragraphs>
  <ScaleCrop>false</ScaleCrop>
  <Company/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2022-2023_ФГОС3++2022_Бак-ЗФО-УП(ОТОП)(22)_plx_Мотивация и стимулирование персонала</dc:title>
  <dc:creator>FastReport.NET</dc:creator>
  <cp:lastModifiedBy>Mark Bernstorf</cp:lastModifiedBy>
  <cp:revision>2</cp:revision>
  <dcterms:created xsi:type="dcterms:W3CDTF">2022-11-12T14:06:00Z</dcterms:created>
  <dcterms:modified xsi:type="dcterms:W3CDTF">2022-11-12T14:06:00Z</dcterms:modified>
</cp:coreProperties>
</file>